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34" w:type="dxa"/>
        <w:tblLook w:val="0000"/>
      </w:tblPr>
      <w:tblGrid>
        <w:gridCol w:w="3686"/>
        <w:gridCol w:w="5670"/>
      </w:tblGrid>
      <w:tr w:rsidR="00F23D0C" w:rsidRPr="00CA7929" w:rsidTr="00050EA2">
        <w:tc>
          <w:tcPr>
            <w:tcW w:w="3686" w:type="dxa"/>
          </w:tcPr>
          <w:p w:rsidR="00F23D0C" w:rsidRPr="00F23D0C" w:rsidRDefault="00F23D0C" w:rsidP="00B47E0D">
            <w:pPr>
              <w:widowControl w:val="0"/>
              <w:jc w:val="center"/>
              <w:rPr>
                <w:rFonts w:eastAsia="Calibri"/>
                <w:sz w:val="26"/>
                <w:szCs w:val="26"/>
                <w:lang w:val="nl-NL"/>
              </w:rPr>
            </w:pPr>
            <w:r w:rsidRPr="00F23D0C">
              <w:rPr>
                <w:rFonts w:eastAsia="Calibri"/>
                <w:b/>
                <w:bCs/>
                <w:sz w:val="26"/>
                <w:szCs w:val="26"/>
                <w:lang w:val="nl-NL"/>
              </w:rPr>
              <w:t>BỘ TÀI CHÍNH</w:t>
            </w:r>
          </w:p>
          <w:p w:rsidR="00F23D0C" w:rsidRDefault="0047496D" w:rsidP="00B47E0D">
            <w:pPr>
              <w:widowControl w:val="0"/>
              <w:jc w:val="center"/>
              <w:rPr>
                <w:rFonts w:eastAsia="Calibri"/>
                <w:sz w:val="26"/>
                <w:szCs w:val="28"/>
                <w:lang w:val="nl-NL"/>
              </w:rPr>
            </w:pPr>
            <w:r w:rsidRPr="0047496D">
              <w:rPr>
                <w:b/>
                <w:noProof/>
                <w:sz w:val="28"/>
                <w:szCs w:val="28"/>
                <w:lang w:val="vi-VN" w:eastAsia="vi-VN"/>
              </w:rPr>
              <w:pict>
                <v:shapetype id="_x0000_t32" coordsize="21600,21600" o:spt="32" o:oned="t" path="m,l21600,21600e" filled="f">
                  <v:path arrowok="t" fillok="f" o:connecttype="none"/>
                  <o:lock v:ext="edit" shapetype="t"/>
                </v:shapetype>
                <v:shape id="_x0000_s1029" type="#_x0000_t32" style="position:absolute;left:0;text-align:left;margin-left:62.15pt;margin-top:5.5pt;width:49.5pt;height:0;z-index:251664384" o:connectortype="straight"/>
              </w:pict>
            </w:r>
          </w:p>
          <w:p w:rsidR="00F23D0C" w:rsidRPr="00435382" w:rsidRDefault="00F23D0C" w:rsidP="00B47E0D">
            <w:pPr>
              <w:widowControl w:val="0"/>
              <w:jc w:val="center"/>
              <w:rPr>
                <w:rFonts w:eastAsia="Calibri"/>
                <w:sz w:val="26"/>
                <w:szCs w:val="28"/>
                <w:lang w:val="nl-NL"/>
              </w:rPr>
            </w:pPr>
          </w:p>
        </w:tc>
        <w:tc>
          <w:tcPr>
            <w:tcW w:w="5670" w:type="dxa"/>
          </w:tcPr>
          <w:p w:rsidR="00F23D0C" w:rsidRPr="00F23D0C" w:rsidRDefault="00F23D0C" w:rsidP="00B47E0D">
            <w:pPr>
              <w:jc w:val="center"/>
              <w:rPr>
                <w:rFonts w:eastAsia="Calibri"/>
                <w:b/>
                <w:bCs/>
                <w:sz w:val="26"/>
                <w:szCs w:val="26"/>
                <w:lang w:val="nl-NL"/>
              </w:rPr>
            </w:pPr>
            <w:r w:rsidRPr="00F23D0C">
              <w:rPr>
                <w:rFonts w:eastAsia="Calibri"/>
                <w:b/>
                <w:bCs/>
                <w:sz w:val="26"/>
                <w:szCs w:val="26"/>
                <w:lang w:val="nl-NL"/>
              </w:rPr>
              <w:t>CỘNG HOÀ XÃ HỘI CHỦ NGHĨA VIỆT NAM</w:t>
            </w:r>
          </w:p>
          <w:p w:rsidR="00F23D0C" w:rsidRPr="00CA7929" w:rsidRDefault="0047496D" w:rsidP="00B47E0D">
            <w:pPr>
              <w:jc w:val="center"/>
              <w:rPr>
                <w:rFonts w:eastAsia="Calibri"/>
                <w:sz w:val="28"/>
                <w:szCs w:val="28"/>
                <w:lang w:val="nl-NL"/>
              </w:rPr>
            </w:pPr>
            <w:r w:rsidRPr="0047496D">
              <w:rPr>
                <w:noProof/>
                <w:sz w:val="28"/>
                <w:szCs w:val="28"/>
                <w:lang w:val="vi-VN" w:eastAsia="vi-VN"/>
              </w:rPr>
              <w:pict>
                <v:shape id="_x0000_s1028" type="#_x0000_t32" style="position:absolute;left:0;text-align:left;margin-left:48.95pt;margin-top:20.85pt;width:166.4pt;height:.6pt;z-index:251663360" o:connectortype="straight"/>
              </w:pict>
            </w:r>
            <w:r w:rsidR="00F23D0C" w:rsidRPr="007F78AD">
              <w:rPr>
                <w:rFonts w:eastAsia="Calibri"/>
                <w:b/>
                <w:bCs/>
                <w:sz w:val="28"/>
                <w:szCs w:val="28"/>
              </w:rPr>
              <w:t xml:space="preserve">Độc lập - Tự do </w:t>
            </w:r>
            <w:r w:rsidR="00F23D0C">
              <w:rPr>
                <w:rFonts w:eastAsia="Calibri"/>
                <w:b/>
                <w:bCs/>
                <w:sz w:val="28"/>
                <w:szCs w:val="28"/>
              </w:rPr>
              <w:t>-</w:t>
            </w:r>
            <w:r w:rsidR="00F23D0C" w:rsidRPr="007F78AD">
              <w:rPr>
                <w:rFonts w:eastAsia="Calibri"/>
                <w:b/>
                <w:bCs/>
                <w:sz w:val="28"/>
                <w:szCs w:val="28"/>
              </w:rPr>
              <w:t xml:space="preserve"> Hạnh phúc</w:t>
            </w:r>
          </w:p>
        </w:tc>
      </w:tr>
      <w:tr w:rsidR="00F23D0C" w:rsidRPr="0043613C" w:rsidTr="00050EA2">
        <w:tc>
          <w:tcPr>
            <w:tcW w:w="3686" w:type="dxa"/>
          </w:tcPr>
          <w:p w:rsidR="00F23D0C" w:rsidRPr="00050EA2" w:rsidRDefault="00F23D0C" w:rsidP="00B47E0D">
            <w:pPr>
              <w:widowControl w:val="0"/>
              <w:jc w:val="center"/>
              <w:rPr>
                <w:sz w:val="28"/>
                <w:szCs w:val="28"/>
                <w:lang w:val="nl-NL"/>
              </w:rPr>
            </w:pPr>
            <w:r w:rsidRPr="00050EA2">
              <w:rPr>
                <w:rFonts w:eastAsia="Calibri"/>
                <w:sz w:val="28"/>
                <w:szCs w:val="28"/>
                <w:lang w:val="nl-NL"/>
              </w:rPr>
              <w:t>Số:</w:t>
            </w:r>
            <w:r w:rsidR="009342A2">
              <w:rPr>
                <w:rFonts w:eastAsia="Calibri"/>
                <w:sz w:val="28"/>
                <w:szCs w:val="28"/>
                <w:lang w:val="nl-NL"/>
              </w:rPr>
              <w:t xml:space="preserve"> 6595</w:t>
            </w:r>
            <w:r w:rsidR="00050EA2" w:rsidRPr="00050EA2">
              <w:rPr>
                <w:rFonts w:eastAsia="Calibri"/>
                <w:sz w:val="28"/>
                <w:szCs w:val="28"/>
                <w:lang w:val="nl-NL"/>
              </w:rPr>
              <w:t xml:space="preserve"> </w:t>
            </w:r>
            <w:r w:rsidRPr="00050EA2">
              <w:rPr>
                <w:b/>
                <w:sz w:val="28"/>
                <w:szCs w:val="28"/>
                <w:lang w:val="nl-NL"/>
              </w:rPr>
              <w:t>/</w:t>
            </w:r>
            <w:r w:rsidRPr="00050EA2">
              <w:rPr>
                <w:rFonts w:eastAsia="Calibri"/>
                <w:sz w:val="28"/>
                <w:szCs w:val="28"/>
                <w:lang w:val="nl-NL"/>
              </w:rPr>
              <w:t>BTC</w:t>
            </w:r>
            <w:r w:rsidRPr="00050EA2">
              <w:rPr>
                <w:sz w:val="28"/>
                <w:szCs w:val="28"/>
                <w:lang w:val="nl-NL"/>
              </w:rPr>
              <w:t>-CST</w:t>
            </w:r>
          </w:p>
          <w:p w:rsidR="00F23D0C" w:rsidRPr="00CA6C1F" w:rsidRDefault="00F23D0C" w:rsidP="0004671C">
            <w:pPr>
              <w:pStyle w:val="NormalWeb"/>
              <w:spacing w:before="0" w:beforeAutospacing="0" w:after="0" w:afterAutospacing="0"/>
              <w:jc w:val="center"/>
              <w:rPr>
                <w:rFonts w:eastAsia="Calibri"/>
                <w:lang w:val="nl-NL"/>
              </w:rPr>
            </w:pPr>
            <w:r w:rsidRPr="00CA6C1F">
              <w:rPr>
                <w:lang w:val="nl-NL"/>
              </w:rPr>
              <w:t xml:space="preserve">V/v </w:t>
            </w:r>
            <w:r w:rsidR="0004671C">
              <w:rPr>
                <w:lang w:val="nl-NL"/>
              </w:rPr>
              <w:t>lấy</w:t>
            </w:r>
            <w:r w:rsidRPr="00CA6C1F">
              <w:rPr>
                <w:lang w:val="nl-NL"/>
              </w:rPr>
              <w:t xml:space="preserve"> ý kiến thẩm định về</w:t>
            </w:r>
            <w:r w:rsidR="00050EA2">
              <w:rPr>
                <w:lang w:val="nl-NL"/>
              </w:rPr>
              <w:t xml:space="preserve"> dự án </w:t>
            </w:r>
            <w:r w:rsidR="00CA6C1F" w:rsidRPr="00CA6C1F">
              <w:rPr>
                <w:lang w:val="pl-PL"/>
              </w:rPr>
              <w:t>Nghị định sửa đổi</w:t>
            </w:r>
            <w:r w:rsidR="00CE46E0">
              <w:rPr>
                <w:lang w:val="pl-PL"/>
              </w:rPr>
              <w:t xml:space="preserve"> mức</w:t>
            </w:r>
            <w:r w:rsidR="00CA6C1F" w:rsidRPr="00CA6C1F">
              <w:rPr>
                <w:lang w:val="pl-PL"/>
              </w:rPr>
              <w:t xml:space="preserve"> thuế suất thuế nhập khẩu ưu đãi đối với </w:t>
            </w:r>
            <w:r w:rsidR="008F0682">
              <w:rPr>
                <w:lang w:val="pl-PL"/>
              </w:rPr>
              <w:t>mặt hàng</w:t>
            </w:r>
            <w:r w:rsidR="00D410C2">
              <w:rPr>
                <w:lang w:val="pl-PL"/>
              </w:rPr>
              <w:t xml:space="preserve"> xăng</w:t>
            </w:r>
            <w:r w:rsidR="008F0682">
              <w:rPr>
                <w:lang w:val="pl-PL"/>
              </w:rPr>
              <w:t xml:space="preserve"> thuộc </w:t>
            </w:r>
            <w:r w:rsidR="00CA6C1F" w:rsidRPr="00CA6C1F">
              <w:rPr>
                <w:lang w:val="pl-PL"/>
              </w:rPr>
              <w:t xml:space="preserve">nhóm 27.10 </w:t>
            </w:r>
          </w:p>
        </w:tc>
        <w:tc>
          <w:tcPr>
            <w:tcW w:w="5670" w:type="dxa"/>
          </w:tcPr>
          <w:p w:rsidR="00F23D0C" w:rsidRPr="00EA5648" w:rsidRDefault="00F23D0C" w:rsidP="00B47E0D">
            <w:pPr>
              <w:pStyle w:val="Heading7"/>
              <w:keepNext w:val="0"/>
              <w:widowControl w:val="0"/>
              <w:rPr>
                <w:rFonts w:ascii="Times New Roman" w:hAnsi="Times New Roman"/>
                <w:lang w:val="nl-NL"/>
              </w:rPr>
            </w:pPr>
            <w:r w:rsidRPr="00EA5648">
              <w:rPr>
                <w:rFonts w:ascii="Times New Roman" w:hAnsi="Times New Roman"/>
                <w:lang w:val="nl-NL"/>
              </w:rPr>
              <w:t>Hà Nội, ngày</w:t>
            </w:r>
            <w:r w:rsidR="00050EA2">
              <w:rPr>
                <w:rFonts w:ascii="Times New Roman" w:hAnsi="Times New Roman"/>
                <w:lang w:val="nl-NL"/>
              </w:rPr>
              <w:t xml:space="preserve"> </w:t>
            </w:r>
            <w:r w:rsidR="00E50172">
              <w:rPr>
                <w:rFonts w:ascii="Times New Roman" w:hAnsi="Times New Roman"/>
                <w:lang w:val="nl-NL"/>
              </w:rPr>
              <w:t xml:space="preserve">   </w:t>
            </w:r>
            <w:r w:rsidRPr="00EA5648">
              <w:rPr>
                <w:rFonts w:ascii="Times New Roman" w:hAnsi="Times New Roman"/>
                <w:lang w:val="nl-NL"/>
              </w:rPr>
              <w:t xml:space="preserve"> tháng</w:t>
            </w:r>
            <w:r w:rsidR="00050EA2">
              <w:rPr>
                <w:rFonts w:ascii="Times New Roman" w:hAnsi="Times New Roman"/>
                <w:lang w:val="nl-NL"/>
              </w:rPr>
              <w:t xml:space="preserve"> 7 </w:t>
            </w:r>
            <w:r w:rsidRPr="00EA5648">
              <w:rPr>
                <w:rFonts w:ascii="Times New Roman" w:hAnsi="Times New Roman"/>
                <w:lang w:val="nl-NL"/>
              </w:rPr>
              <w:t xml:space="preserve"> năm 20</w:t>
            </w:r>
            <w:r>
              <w:rPr>
                <w:rFonts w:ascii="Times New Roman" w:hAnsi="Times New Roman"/>
                <w:lang w:val="nl-NL"/>
              </w:rPr>
              <w:t>2</w:t>
            </w:r>
            <w:r w:rsidR="003E0263">
              <w:rPr>
                <w:rFonts w:ascii="Times New Roman" w:hAnsi="Times New Roman"/>
                <w:lang w:val="nl-NL"/>
              </w:rPr>
              <w:t>2</w:t>
            </w:r>
          </w:p>
        </w:tc>
      </w:tr>
    </w:tbl>
    <w:p w:rsidR="001C6DE7" w:rsidRPr="00CA7929" w:rsidRDefault="001C6DE7" w:rsidP="001C6DE7">
      <w:pPr>
        <w:widowControl w:val="0"/>
        <w:rPr>
          <w:sz w:val="28"/>
          <w:szCs w:val="28"/>
          <w:lang w:val="pt-BR"/>
        </w:rPr>
      </w:pPr>
    </w:p>
    <w:p w:rsidR="00386825" w:rsidRDefault="00386825" w:rsidP="001C6DE7">
      <w:pPr>
        <w:widowControl w:val="0"/>
        <w:jc w:val="center"/>
        <w:rPr>
          <w:sz w:val="28"/>
          <w:szCs w:val="28"/>
          <w:lang w:val="pt-BR"/>
        </w:rPr>
      </w:pPr>
    </w:p>
    <w:p w:rsidR="001C6DE7" w:rsidRDefault="001C6DE7" w:rsidP="001C6DE7">
      <w:pPr>
        <w:widowControl w:val="0"/>
        <w:jc w:val="center"/>
        <w:rPr>
          <w:sz w:val="28"/>
          <w:szCs w:val="28"/>
          <w:lang w:val="pt-BR"/>
        </w:rPr>
      </w:pPr>
      <w:r w:rsidRPr="00CA7929">
        <w:rPr>
          <w:sz w:val="28"/>
          <w:szCs w:val="28"/>
          <w:lang w:val="pt-BR"/>
        </w:rPr>
        <w:t>Kính gửi:</w:t>
      </w:r>
      <w:r w:rsidR="00D70302">
        <w:rPr>
          <w:sz w:val="28"/>
          <w:szCs w:val="28"/>
          <w:lang w:val="pt-BR"/>
        </w:rPr>
        <w:t xml:space="preserve"> </w:t>
      </w:r>
      <w:r w:rsidRPr="00CA7929">
        <w:rPr>
          <w:sz w:val="28"/>
          <w:szCs w:val="28"/>
          <w:lang w:val="pt-BR"/>
        </w:rPr>
        <w:t>Bộ Tư pháp</w:t>
      </w:r>
    </w:p>
    <w:p w:rsidR="00CA6C1F" w:rsidRPr="00CA7929" w:rsidRDefault="00CA6C1F" w:rsidP="001C6DE7">
      <w:pPr>
        <w:widowControl w:val="0"/>
        <w:jc w:val="center"/>
        <w:rPr>
          <w:sz w:val="28"/>
          <w:szCs w:val="28"/>
          <w:lang w:val="pt-BR"/>
        </w:rPr>
      </w:pPr>
    </w:p>
    <w:p w:rsidR="004D42F5" w:rsidRDefault="0074072B" w:rsidP="00C84446">
      <w:pPr>
        <w:spacing w:before="120"/>
        <w:ind w:firstLine="720"/>
        <w:jc w:val="both"/>
        <w:rPr>
          <w:sz w:val="28"/>
          <w:szCs w:val="28"/>
          <w:lang w:val="nl-NL"/>
        </w:rPr>
      </w:pPr>
      <w:r>
        <w:rPr>
          <w:sz w:val="28"/>
          <w:szCs w:val="28"/>
        </w:rPr>
        <w:t xml:space="preserve">Ngày 08/6/2022, Chính phủ ban hành Nghị quyết số 77/NQ-CP về phiên họp Chính phủ thường kỳ tháng 5 năm 2022, trong đó tại điểm a khoản 3 mục I Nghị quyết số 77/NQ-CP giao Bộ Tài chính: </w:t>
      </w:r>
      <w:r w:rsidRPr="0074072B">
        <w:rPr>
          <w:i/>
          <w:sz w:val="28"/>
          <w:szCs w:val="28"/>
        </w:rPr>
        <w:t>“Khẩn trương nghiên cứu, đề xuất phương án phù hợp để giảm áp lực tăng giá xăng dầu trong nước, hỗ trợ sản xuất kinh doanh, đời sống người dân, không để ảnh hưởng lớn đến mục tiêu kiểm soát lạm phát, ổn định kinh tế vĩ mô”.</w:t>
      </w:r>
    </w:p>
    <w:p w:rsidR="003E0263" w:rsidRDefault="0074072B" w:rsidP="0004671C">
      <w:pPr>
        <w:spacing w:before="120" w:after="120"/>
        <w:ind w:firstLine="720"/>
        <w:jc w:val="both"/>
        <w:rPr>
          <w:sz w:val="28"/>
          <w:szCs w:val="28"/>
          <w:lang w:val="pl-PL"/>
        </w:rPr>
      </w:pPr>
      <w:r>
        <w:rPr>
          <w:sz w:val="28"/>
          <w:szCs w:val="28"/>
          <w:lang w:val="pl-PL"/>
        </w:rPr>
        <w:t xml:space="preserve">Thực hiện Nghị quyết số 77/NQ-CP của Chính phủ và ý kiến </w:t>
      </w:r>
      <w:r w:rsidR="004828F2">
        <w:rPr>
          <w:sz w:val="28"/>
          <w:szCs w:val="28"/>
          <w:lang w:val="pl-PL"/>
        </w:rPr>
        <w:t xml:space="preserve">của </w:t>
      </w:r>
      <w:r w:rsidR="00CA6C1F">
        <w:rPr>
          <w:sz w:val="28"/>
          <w:szCs w:val="28"/>
          <w:lang w:val="pl-PL"/>
        </w:rPr>
        <w:t xml:space="preserve">Phó </w:t>
      </w:r>
      <w:r w:rsidR="004828F2">
        <w:rPr>
          <w:sz w:val="28"/>
          <w:szCs w:val="28"/>
          <w:lang w:val="pl-PL"/>
        </w:rPr>
        <w:t>Thủ tướng Chính phủ</w:t>
      </w:r>
      <w:r w:rsidR="00CA6C1F">
        <w:rPr>
          <w:sz w:val="28"/>
          <w:szCs w:val="28"/>
          <w:lang w:val="pl-PL"/>
        </w:rPr>
        <w:t xml:space="preserve"> Lê Minh Khái</w:t>
      </w:r>
      <w:r w:rsidR="0017644F">
        <w:rPr>
          <w:sz w:val="28"/>
          <w:szCs w:val="28"/>
          <w:lang w:val="pl-PL"/>
        </w:rPr>
        <w:t>,</w:t>
      </w:r>
      <w:r w:rsidR="004828F2">
        <w:rPr>
          <w:sz w:val="28"/>
          <w:szCs w:val="28"/>
          <w:lang w:val="pl-PL"/>
        </w:rPr>
        <w:t xml:space="preserve"> </w:t>
      </w:r>
      <w:r w:rsidR="000B5DF6" w:rsidRPr="00DB7700">
        <w:rPr>
          <w:sz w:val="28"/>
          <w:szCs w:val="28"/>
          <w:lang w:val="pl-PL"/>
        </w:rPr>
        <w:t xml:space="preserve">nhằm </w:t>
      </w:r>
      <w:r w:rsidR="005D6D84">
        <w:rPr>
          <w:sz w:val="28"/>
          <w:szCs w:val="28"/>
          <w:lang w:val="pl-PL"/>
        </w:rPr>
        <w:t xml:space="preserve">bình ổn giá xăng dầu, </w:t>
      </w:r>
      <w:r w:rsidR="003E0263">
        <w:rPr>
          <w:sz w:val="28"/>
          <w:szCs w:val="28"/>
          <w:lang w:val="pl-PL"/>
        </w:rPr>
        <w:t>góp p</w:t>
      </w:r>
      <w:r w:rsidR="00B47E0D">
        <w:rPr>
          <w:sz w:val="28"/>
          <w:szCs w:val="28"/>
          <w:lang w:val="pl-PL"/>
        </w:rPr>
        <w:t>hần</w:t>
      </w:r>
      <w:r w:rsidR="005D6D84">
        <w:rPr>
          <w:sz w:val="28"/>
          <w:szCs w:val="28"/>
          <w:lang w:val="pl-PL"/>
        </w:rPr>
        <w:t xml:space="preserve"> đa dạng hóa nguồn cung</w:t>
      </w:r>
      <w:r w:rsidR="00422FFA">
        <w:rPr>
          <w:sz w:val="28"/>
          <w:szCs w:val="28"/>
          <w:lang w:val="pl-PL"/>
        </w:rPr>
        <w:t xml:space="preserve"> cho thị trường</w:t>
      </w:r>
      <w:r w:rsidR="005D6D84">
        <w:rPr>
          <w:sz w:val="28"/>
          <w:szCs w:val="28"/>
          <w:lang w:val="pl-PL"/>
        </w:rPr>
        <w:t>,</w:t>
      </w:r>
      <w:r w:rsidR="00B47E0D">
        <w:rPr>
          <w:sz w:val="28"/>
          <w:szCs w:val="28"/>
          <w:lang w:val="pl-PL"/>
        </w:rPr>
        <w:t xml:space="preserve"> hỗ trợ sản xuất kinh doanh trong nước</w:t>
      </w:r>
      <w:r w:rsidR="004D42F5">
        <w:rPr>
          <w:sz w:val="28"/>
          <w:szCs w:val="28"/>
          <w:lang w:val="pl-PL"/>
        </w:rPr>
        <w:t xml:space="preserve">, </w:t>
      </w:r>
      <w:r w:rsidR="000B5DF6" w:rsidRPr="00DB7700">
        <w:rPr>
          <w:sz w:val="28"/>
          <w:szCs w:val="28"/>
          <w:lang w:val="pl-PL"/>
        </w:rPr>
        <w:t xml:space="preserve">Bộ Tài chính đã xây dựng hồ sơ dự án </w:t>
      </w:r>
      <w:r w:rsidR="003E0263" w:rsidRPr="003E0263">
        <w:rPr>
          <w:sz w:val="28"/>
          <w:szCs w:val="28"/>
          <w:lang w:val="pl-PL"/>
        </w:rPr>
        <w:t xml:space="preserve">Nghị định </w:t>
      </w:r>
      <w:r w:rsidR="009F0BE0">
        <w:rPr>
          <w:sz w:val="28"/>
          <w:szCs w:val="28"/>
          <w:lang w:val="pl-PL"/>
        </w:rPr>
        <w:t>s</w:t>
      </w:r>
      <w:r w:rsidR="003E0263" w:rsidRPr="003E0263">
        <w:rPr>
          <w:sz w:val="28"/>
          <w:szCs w:val="28"/>
          <w:lang w:val="pl-PL"/>
        </w:rPr>
        <w:t>ửa đổi</w:t>
      </w:r>
      <w:r w:rsidR="00CE46E0">
        <w:rPr>
          <w:sz w:val="28"/>
          <w:szCs w:val="28"/>
          <w:lang w:val="pl-PL"/>
        </w:rPr>
        <w:t xml:space="preserve"> mức</w:t>
      </w:r>
      <w:r w:rsidR="003E0263" w:rsidRPr="003E0263">
        <w:rPr>
          <w:sz w:val="28"/>
          <w:szCs w:val="28"/>
          <w:lang w:val="pl-PL"/>
        </w:rPr>
        <w:t xml:space="preserve"> thuế suất thuế nhập khẩu ưu đãi đối với mặt hàng</w:t>
      </w:r>
      <w:r w:rsidR="0004671C">
        <w:rPr>
          <w:sz w:val="28"/>
          <w:szCs w:val="28"/>
          <w:lang w:val="pl-PL"/>
        </w:rPr>
        <w:t xml:space="preserve"> xăng</w:t>
      </w:r>
      <w:r w:rsidR="003E0263" w:rsidRPr="003E0263">
        <w:rPr>
          <w:sz w:val="28"/>
          <w:szCs w:val="28"/>
          <w:lang w:val="pl-PL"/>
        </w:rPr>
        <w:t xml:space="preserve"> thuộc nhóm 27.10 tại Biểu thuế nhập khẩu ưu đãi theo Danh mục mặt hàng chịu thuế ban hành kèm theo Nghị định số 57/2020/NĐ-CP ngày 25</w:t>
      </w:r>
      <w:r w:rsidR="0004671C">
        <w:rPr>
          <w:sz w:val="28"/>
          <w:szCs w:val="28"/>
          <w:lang w:val="pl-PL"/>
        </w:rPr>
        <w:t>/</w:t>
      </w:r>
      <w:r w:rsidR="003E0263" w:rsidRPr="003E0263">
        <w:rPr>
          <w:sz w:val="28"/>
          <w:szCs w:val="28"/>
          <w:lang w:val="pl-PL"/>
        </w:rPr>
        <w:t>5</w:t>
      </w:r>
      <w:r w:rsidR="0004671C">
        <w:rPr>
          <w:sz w:val="28"/>
          <w:szCs w:val="28"/>
          <w:lang w:val="pl-PL"/>
        </w:rPr>
        <w:t>/</w:t>
      </w:r>
      <w:r w:rsidR="003E0263" w:rsidRPr="003E0263">
        <w:rPr>
          <w:sz w:val="28"/>
          <w:szCs w:val="28"/>
          <w:lang w:val="pl-PL"/>
        </w:rPr>
        <w:t>2020 của Chính phủ sửa đổi, bổ sung một số điều của Nghị định số 122/2016/NĐ-CP ngày 01</w:t>
      </w:r>
      <w:r w:rsidR="0004671C">
        <w:rPr>
          <w:sz w:val="28"/>
          <w:szCs w:val="28"/>
          <w:lang w:val="pl-PL"/>
        </w:rPr>
        <w:t>/</w:t>
      </w:r>
      <w:r w:rsidR="003E0263" w:rsidRPr="003E0263">
        <w:rPr>
          <w:sz w:val="28"/>
          <w:szCs w:val="28"/>
          <w:lang w:val="pl-PL"/>
        </w:rPr>
        <w:t>9</w:t>
      </w:r>
      <w:r w:rsidR="0004671C">
        <w:rPr>
          <w:sz w:val="28"/>
          <w:szCs w:val="28"/>
          <w:lang w:val="pl-PL"/>
        </w:rPr>
        <w:t>/</w:t>
      </w:r>
      <w:r w:rsidR="003E0263" w:rsidRPr="003E0263">
        <w:rPr>
          <w:sz w:val="28"/>
          <w:szCs w:val="28"/>
          <w:lang w:val="pl-PL"/>
        </w:rPr>
        <w:t>2016 của Chính phủ về Biểu thuế xuất khẩu, Biểu thuế nhập khẩu ưu đãi, Danh mục hàng hóa và mức thuế tuyệt đối, thuế hỗn hợp, thuế nhập khẩu ngoài hạn ngạch thuế quan và Nghị định số 125/2017/NĐ-CP ngày 16</w:t>
      </w:r>
      <w:r w:rsidR="0004671C">
        <w:rPr>
          <w:sz w:val="28"/>
          <w:szCs w:val="28"/>
          <w:lang w:val="pl-PL"/>
        </w:rPr>
        <w:t>/</w:t>
      </w:r>
      <w:r w:rsidR="003E0263" w:rsidRPr="003E0263">
        <w:rPr>
          <w:sz w:val="28"/>
          <w:szCs w:val="28"/>
          <w:lang w:val="pl-PL"/>
        </w:rPr>
        <w:t>11</w:t>
      </w:r>
      <w:r w:rsidR="0004671C">
        <w:rPr>
          <w:sz w:val="28"/>
          <w:szCs w:val="28"/>
          <w:lang w:val="pl-PL"/>
        </w:rPr>
        <w:t>/</w:t>
      </w:r>
      <w:r w:rsidR="003E0263" w:rsidRPr="003E0263">
        <w:rPr>
          <w:sz w:val="28"/>
          <w:szCs w:val="28"/>
          <w:lang w:val="pl-PL"/>
        </w:rPr>
        <w:t>2017 sửa đổi, bổ sung một số điều của Nghị định số 122/2016/NĐ-CP</w:t>
      </w:r>
      <w:r w:rsidR="0004671C">
        <w:rPr>
          <w:sz w:val="28"/>
          <w:szCs w:val="28"/>
          <w:lang w:val="pl-PL"/>
        </w:rPr>
        <w:t xml:space="preserve"> (</w:t>
      </w:r>
      <w:r w:rsidR="00050EA2">
        <w:rPr>
          <w:sz w:val="28"/>
          <w:szCs w:val="28"/>
          <w:lang w:val="pl-PL"/>
        </w:rPr>
        <w:t xml:space="preserve">sau đây gọi là </w:t>
      </w:r>
      <w:r w:rsidR="0004671C">
        <w:rPr>
          <w:sz w:val="28"/>
          <w:szCs w:val="28"/>
          <w:lang w:val="pl-PL"/>
        </w:rPr>
        <w:t xml:space="preserve">dự án Nghị định) </w:t>
      </w:r>
      <w:r w:rsidR="000B5DF6" w:rsidRPr="00DB7700">
        <w:rPr>
          <w:sz w:val="28"/>
          <w:szCs w:val="28"/>
          <w:lang w:val="pl-PL"/>
        </w:rPr>
        <w:t xml:space="preserve">theo trình tự, thủ tục </w:t>
      </w:r>
      <w:r w:rsidR="00386825">
        <w:rPr>
          <w:sz w:val="28"/>
          <w:szCs w:val="28"/>
          <w:lang w:val="pl-PL"/>
        </w:rPr>
        <w:t>rút gọn được quy định tại Luật B</w:t>
      </w:r>
      <w:r w:rsidR="000B5DF6" w:rsidRPr="00DB7700">
        <w:rPr>
          <w:sz w:val="28"/>
          <w:szCs w:val="28"/>
          <w:lang w:val="pl-PL"/>
        </w:rPr>
        <w:t>an hành văn bản quy phạm pháp luật.</w:t>
      </w:r>
      <w:r w:rsidR="0043613C">
        <w:rPr>
          <w:sz w:val="28"/>
          <w:szCs w:val="28"/>
          <w:lang w:val="pl-PL"/>
        </w:rPr>
        <w:t xml:space="preserve"> </w:t>
      </w:r>
    </w:p>
    <w:p w:rsidR="0004671C" w:rsidRPr="00880C79" w:rsidRDefault="0004671C" w:rsidP="0004671C">
      <w:pPr>
        <w:ind w:firstLine="709"/>
        <w:jc w:val="both"/>
        <w:rPr>
          <w:sz w:val="28"/>
          <w:szCs w:val="28"/>
          <w:lang w:val="sv-SE"/>
        </w:rPr>
      </w:pPr>
      <w:r>
        <w:rPr>
          <w:sz w:val="28"/>
          <w:szCs w:val="28"/>
          <w:lang w:val="pl-PL"/>
        </w:rPr>
        <w:t>Phương án điều chỉnh</w:t>
      </w:r>
      <w:bookmarkStart w:id="0" w:name="_GoBack"/>
      <w:bookmarkEnd w:id="0"/>
      <w:r>
        <w:rPr>
          <w:sz w:val="28"/>
          <w:szCs w:val="28"/>
          <w:lang w:val="pl-PL"/>
        </w:rPr>
        <w:t xml:space="preserve"> thuế suất đ</w:t>
      </w:r>
      <w:r w:rsidR="00E50172">
        <w:rPr>
          <w:sz w:val="28"/>
          <w:szCs w:val="28"/>
          <w:lang w:val="pl-PL"/>
        </w:rPr>
        <w:t xml:space="preserve">ối với mặt hàng xăng thuộc </w:t>
      </w:r>
      <w:r>
        <w:rPr>
          <w:sz w:val="28"/>
          <w:szCs w:val="28"/>
          <w:lang w:val="pl-PL"/>
        </w:rPr>
        <w:t>n</w:t>
      </w:r>
      <w:r w:rsidRPr="003E0263">
        <w:rPr>
          <w:sz w:val="28"/>
          <w:szCs w:val="28"/>
          <w:lang w:val="pl-PL"/>
        </w:rPr>
        <w:t>hóm 27.10 tại Biểu thuế nhập khẩu ưu đãi</w:t>
      </w:r>
      <w:r w:rsidR="00DB7DA7">
        <w:rPr>
          <w:sz w:val="28"/>
          <w:szCs w:val="28"/>
          <w:lang w:val="pl-PL"/>
        </w:rPr>
        <w:t xml:space="preserve"> nêu tại dự án Nghị định</w:t>
      </w:r>
      <w:r w:rsidR="00050EA2">
        <w:rPr>
          <w:sz w:val="28"/>
          <w:szCs w:val="28"/>
          <w:lang w:val="pl-PL"/>
        </w:rPr>
        <w:t xml:space="preserve"> này</w:t>
      </w:r>
      <w:r>
        <w:rPr>
          <w:sz w:val="28"/>
          <w:szCs w:val="28"/>
          <w:lang w:val="pl-PL"/>
        </w:rPr>
        <w:t xml:space="preserve"> đã được Bộ Tài chính đề xuất </w:t>
      </w:r>
      <w:r w:rsidR="00DB7DA7">
        <w:rPr>
          <w:sz w:val="28"/>
          <w:szCs w:val="28"/>
          <w:lang w:val="pl-PL"/>
        </w:rPr>
        <w:t>trong quá trình xây dựng</w:t>
      </w:r>
      <w:r w:rsidR="00050EA2">
        <w:rPr>
          <w:sz w:val="28"/>
          <w:szCs w:val="28"/>
          <w:lang w:val="pl-PL"/>
        </w:rPr>
        <w:t xml:space="preserve"> dự án</w:t>
      </w:r>
      <w:r w:rsidRPr="00D2143D">
        <w:rPr>
          <w:sz w:val="28"/>
          <w:szCs w:val="28"/>
        </w:rPr>
        <w:t xml:space="preserve"> Nghị định</w:t>
      </w:r>
      <w:r w:rsidR="00DB7DA7">
        <w:rPr>
          <w:sz w:val="28"/>
          <w:szCs w:val="28"/>
        </w:rPr>
        <w:t xml:space="preserve"> của Chính phủ về</w:t>
      </w:r>
      <w:r w:rsidRPr="00D2143D">
        <w:rPr>
          <w:sz w:val="28"/>
          <w:szCs w:val="28"/>
        </w:rPr>
        <w:t xml:space="preserve"> Biểu thuế xuất khẩu, Biểu thuế nhập khẩu </w:t>
      </w:r>
      <w:r w:rsidRPr="00D2143D">
        <w:rPr>
          <w:sz w:val="28"/>
          <w:szCs w:val="28"/>
          <w:lang w:val="nl-NL"/>
        </w:rPr>
        <w:t>ưu đãi, Danh mục hàng hóa và mức thuế tuyệt đối, thuế hỗn hợp, thuế nhập khẩu ngoài hạn ngạch thuế quan</w:t>
      </w:r>
      <w:r w:rsidR="00DB7DA7">
        <w:rPr>
          <w:sz w:val="28"/>
          <w:szCs w:val="28"/>
          <w:lang w:val="nl-NL"/>
        </w:rPr>
        <w:t xml:space="preserve"> để thực hiện Danh</w:t>
      </w:r>
      <w:r w:rsidR="00DB7DA7" w:rsidRPr="00DB7DA7">
        <w:rPr>
          <w:sz w:val="28"/>
          <w:szCs w:val="28"/>
        </w:rPr>
        <w:t xml:space="preserve"> </w:t>
      </w:r>
      <w:r w:rsidR="00DB7DA7" w:rsidRPr="00D2143D">
        <w:rPr>
          <w:sz w:val="28"/>
          <w:szCs w:val="28"/>
          <w:lang w:val="nl-NL"/>
        </w:rPr>
        <w:t>mục Biểu thuế hài hòa ASEAN 2022 (AHTN 2022</w:t>
      </w:r>
      <w:r w:rsidR="00DB7DA7">
        <w:rPr>
          <w:sz w:val="28"/>
          <w:szCs w:val="28"/>
          <w:lang w:val="nl-NL"/>
        </w:rPr>
        <w:t xml:space="preserve">) và đã được </w:t>
      </w:r>
      <w:r w:rsidRPr="00163C3E">
        <w:rPr>
          <w:sz w:val="28"/>
          <w:szCs w:val="28"/>
          <w:lang w:val="nl-NL"/>
        </w:rPr>
        <w:t>gửi lấy ý kiến Bộ, ngành,</w:t>
      </w:r>
      <w:r w:rsidR="00DB7DA7">
        <w:rPr>
          <w:sz w:val="28"/>
          <w:szCs w:val="28"/>
          <w:lang w:val="nl-NL"/>
        </w:rPr>
        <w:t xml:space="preserve"> địa phương và</w:t>
      </w:r>
      <w:r w:rsidRPr="00163C3E">
        <w:rPr>
          <w:sz w:val="28"/>
          <w:szCs w:val="28"/>
          <w:lang w:val="nl-NL"/>
        </w:rPr>
        <w:t xml:space="preserve"> cộng đồng doanh nghiệp</w:t>
      </w:r>
      <w:r w:rsidR="00386825" w:rsidRPr="00386825">
        <w:rPr>
          <w:sz w:val="28"/>
          <w:szCs w:val="28"/>
          <w:lang w:val="nl-NL"/>
        </w:rPr>
        <w:t xml:space="preserve"> </w:t>
      </w:r>
      <w:r w:rsidR="00386825">
        <w:rPr>
          <w:sz w:val="28"/>
          <w:szCs w:val="28"/>
          <w:lang w:val="nl-NL"/>
        </w:rPr>
        <w:t xml:space="preserve">theo công văn </w:t>
      </w:r>
      <w:r w:rsidR="00386825" w:rsidRPr="00D2143D">
        <w:rPr>
          <w:sz w:val="28"/>
          <w:szCs w:val="28"/>
        </w:rPr>
        <w:t>số 3662/BTC-CST ngày 21/4/2022</w:t>
      </w:r>
      <w:r w:rsidRPr="00163C3E">
        <w:rPr>
          <w:sz w:val="28"/>
          <w:szCs w:val="28"/>
          <w:lang w:val="nl-NL"/>
        </w:rPr>
        <w:t>; đồng thời, lấy ý kiến rộng rãi của các t</w:t>
      </w:r>
      <w:r>
        <w:rPr>
          <w:sz w:val="28"/>
          <w:szCs w:val="28"/>
          <w:lang w:val="nl-NL"/>
        </w:rPr>
        <w:t>ổ chức, cá nhân tr</w:t>
      </w:r>
      <w:r w:rsidRPr="00C66792">
        <w:rPr>
          <w:sz w:val="28"/>
          <w:szCs w:val="28"/>
          <w:lang w:val="nl-NL"/>
        </w:rPr>
        <w:t>ê</w:t>
      </w:r>
      <w:r>
        <w:rPr>
          <w:sz w:val="28"/>
          <w:szCs w:val="28"/>
          <w:lang w:val="nl-NL"/>
        </w:rPr>
        <w:t>n Cổng T</w:t>
      </w:r>
      <w:r w:rsidRPr="00163C3E">
        <w:rPr>
          <w:sz w:val="28"/>
          <w:szCs w:val="28"/>
          <w:lang w:val="nl-NL"/>
        </w:rPr>
        <w:t xml:space="preserve">hông tin điện tử của </w:t>
      </w:r>
      <w:r w:rsidRPr="00163C3E">
        <w:rPr>
          <w:bCs/>
          <w:sz w:val="28"/>
          <w:szCs w:val="28"/>
          <w:lang w:val="nl-NL"/>
        </w:rPr>
        <w:t>Chính phủ</w:t>
      </w:r>
      <w:r>
        <w:rPr>
          <w:sz w:val="28"/>
          <w:szCs w:val="28"/>
          <w:lang w:val="nl-NL"/>
        </w:rPr>
        <w:t xml:space="preserve"> và Cổng T</w:t>
      </w:r>
      <w:r w:rsidRPr="00163C3E">
        <w:rPr>
          <w:sz w:val="28"/>
          <w:szCs w:val="28"/>
          <w:lang w:val="nl-NL"/>
        </w:rPr>
        <w:t>hông tin điện tử của Bộ Tài chính</w:t>
      </w:r>
      <w:r>
        <w:rPr>
          <w:sz w:val="28"/>
          <w:szCs w:val="28"/>
        </w:rPr>
        <w:t>.</w:t>
      </w:r>
    </w:p>
    <w:p w:rsidR="001C6DE7" w:rsidRDefault="001C6DE7" w:rsidP="00C84446">
      <w:pPr>
        <w:spacing w:before="120"/>
        <w:ind w:firstLine="720"/>
        <w:jc w:val="both"/>
        <w:rPr>
          <w:sz w:val="28"/>
          <w:szCs w:val="28"/>
          <w:lang w:val="pl-PL"/>
        </w:rPr>
      </w:pPr>
      <w:r w:rsidRPr="00884C8E">
        <w:rPr>
          <w:sz w:val="28"/>
          <w:szCs w:val="28"/>
          <w:lang w:val="pl-PL"/>
        </w:rPr>
        <w:t xml:space="preserve">Căn cứ quy định </w:t>
      </w:r>
      <w:r w:rsidRPr="00884C8E">
        <w:rPr>
          <w:iCs/>
          <w:sz w:val="28"/>
          <w:szCs w:val="28"/>
          <w:lang w:val="pl-PL"/>
        </w:rPr>
        <w:t>của</w:t>
      </w:r>
      <w:r w:rsidRPr="00884C8E">
        <w:rPr>
          <w:sz w:val="28"/>
          <w:szCs w:val="28"/>
          <w:lang w:val="pl-PL"/>
        </w:rPr>
        <w:t xml:space="preserve"> Luật Ban hành văn bản quy phạm pháp luật, Bộ Tài chính xin gửi tới quý Bộ hồ sơ, tài liệu liên quan đến</w:t>
      </w:r>
      <w:r>
        <w:rPr>
          <w:sz w:val="28"/>
          <w:szCs w:val="28"/>
          <w:lang w:val="pl-PL"/>
        </w:rPr>
        <w:t xml:space="preserve"> d</w:t>
      </w:r>
      <w:r w:rsidRPr="00884C8E">
        <w:rPr>
          <w:sz w:val="28"/>
          <w:szCs w:val="28"/>
          <w:lang w:val="pl-PL"/>
        </w:rPr>
        <w:t>ự</w:t>
      </w:r>
      <w:r>
        <w:rPr>
          <w:sz w:val="28"/>
          <w:szCs w:val="28"/>
          <w:lang w:val="pl-PL"/>
        </w:rPr>
        <w:t xml:space="preserve"> án </w:t>
      </w:r>
      <w:r>
        <w:rPr>
          <w:sz w:val="28"/>
          <w:szCs w:val="28"/>
          <w:lang w:val="nl-NL"/>
        </w:rPr>
        <w:t>Ngh</w:t>
      </w:r>
      <w:r w:rsidRPr="00F70A7A">
        <w:rPr>
          <w:sz w:val="28"/>
          <w:szCs w:val="28"/>
          <w:lang w:val="nl-NL"/>
        </w:rPr>
        <w:t>ị</w:t>
      </w:r>
      <w:r>
        <w:rPr>
          <w:sz w:val="28"/>
          <w:szCs w:val="28"/>
          <w:lang w:val="nl-NL"/>
        </w:rPr>
        <w:t xml:space="preserve"> </w:t>
      </w:r>
      <w:r w:rsidRPr="00F70A7A">
        <w:rPr>
          <w:sz w:val="28"/>
          <w:szCs w:val="28"/>
          <w:lang w:val="nl-NL"/>
        </w:rPr>
        <w:t>định</w:t>
      </w:r>
      <w:r>
        <w:rPr>
          <w:sz w:val="28"/>
          <w:szCs w:val="28"/>
          <w:lang w:val="nl-NL"/>
        </w:rPr>
        <w:t xml:space="preserve"> </w:t>
      </w:r>
      <w:r w:rsidR="0043613C" w:rsidRPr="0043613C">
        <w:rPr>
          <w:i/>
          <w:sz w:val="28"/>
          <w:szCs w:val="28"/>
          <w:lang w:val="nl-NL"/>
        </w:rPr>
        <w:t>(kèm theo)</w:t>
      </w:r>
      <w:r w:rsidR="0043613C">
        <w:rPr>
          <w:sz w:val="28"/>
          <w:szCs w:val="28"/>
          <w:lang w:val="nl-NL"/>
        </w:rPr>
        <w:t xml:space="preserve"> </w:t>
      </w:r>
      <w:r w:rsidRPr="00884C8E">
        <w:rPr>
          <w:sz w:val="28"/>
          <w:szCs w:val="28"/>
          <w:lang w:val="pl-PL"/>
        </w:rPr>
        <w:t>để</w:t>
      </w:r>
      <w:r>
        <w:rPr>
          <w:sz w:val="28"/>
          <w:szCs w:val="28"/>
          <w:lang w:val="pl-PL"/>
        </w:rPr>
        <w:t xml:space="preserve"> qu</w:t>
      </w:r>
      <w:r w:rsidRPr="00B97643">
        <w:rPr>
          <w:sz w:val="28"/>
          <w:szCs w:val="28"/>
          <w:lang w:val="pl-PL"/>
        </w:rPr>
        <w:t>ý</w:t>
      </w:r>
      <w:r>
        <w:rPr>
          <w:sz w:val="28"/>
          <w:szCs w:val="28"/>
          <w:lang w:val="pl-PL"/>
        </w:rPr>
        <w:t xml:space="preserve"> </w:t>
      </w:r>
      <w:r w:rsidRPr="00884C8E">
        <w:rPr>
          <w:sz w:val="28"/>
          <w:szCs w:val="28"/>
          <w:lang w:val="pl-PL"/>
        </w:rPr>
        <w:t>Bộ thẩm định trước khi trình Chính phủ</w:t>
      </w:r>
      <w:r>
        <w:rPr>
          <w:sz w:val="28"/>
          <w:szCs w:val="28"/>
          <w:lang w:val="pl-PL"/>
        </w:rPr>
        <w:t xml:space="preserve"> </w:t>
      </w:r>
      <w:r w:rsidRPr="00884C8E">
        <w:rPr>
          <w:sz w:val="28"/>
          <w:szCs w:val="28"/>
          <w:lang w:val="pl-PL"/>
        </w:rPr>
        <w:t xml:space="preserve">xem xét, </w:t>
      </w:r>
      <w:r w:rsidRPr="00884C8E">
        <w:rPr>
          <w:sz w:val="28"/>
          <w:lang w:val="pl-PL"/>
        </w:rPr>
        <w:t>quyết định</w:t>
      </w:r>
      <w:r w:rsidRPr="00884C8E">
        <w:rPr>
          <w:sz w:val="28"/>
          <w:szCs w:val="28"/>
          <w:lang w:val="pl-PL"/>
        </w:rPr>
        <w:t>.</w:t>
      </w:r>
    </w:p>
    <w:p w:rsidR="001C6DE7" w:rsidRDefault="001C6DE7" w:rsidP="00B47E0D">
      <w:pPr>
        <w:spacing w:before="120" w:after="120"/>
        <w:ind w:firstLine="720"/>
        <w:jc w:val="both"/>
        <w:rPr>
          <w:sz w:val="28"/>
          <w:szCs w:val="28"/>
          <w:lang w:val="pl-PL"/>
        </w:rPr>
      </w:pPr>
      <w:r w:rsidRPr="00884C8E">
        <w:rPr>
          <w:sz w:val="28"/>
          <w:szCs w:val="28"/>
          <w:lang w:val="pl-PL"/>
        </w:rPr>
        <w:lastRenderedPageBreak/>
        <w:t>Trân trọng cảm ơn sự phối hợp công tác của q</w:t>
      </w:r>
      <w:r>
        <w:rPr>
          <w:sz w:val="28"/>
          <w:szCs w:val="28"/>
          <w:lang w:val="pl-PL"/>
        </w:rPr>
        <w:t>uý Bộ./.</w:t>
      </w:r>
    </w:p>
    <w:p w:rsidR="00B53FC3" w:rsidRPr="00D410C2" w:rsidRDefault="00B53FC3" w:rsidP="00B47E0D">
      <w:pPr>
        <w:spacing w:before="120" w:after="120"/>
        <w:ind w:firstLine="720"/>
        <w:jc w:val="both"/>
        <w:rPr>
          <w:sz w:val="4"/>
          <w:szCs w:val="28"/>
          <w:lang w:val="nl-NL"/>
        </w:rPr>
      </w:pPr>
    </w:p>
    <w:tbl>
      <w:tblPr>
        <w:tblW w:w="0" w:type="auto"/>
        <w:tblCellMar>
          <w:left w:w="28" w:type="dxa"/>
          <w:right w:w="28" w:type="dxa"/>
        </w:tblCellMar>
        <w:tblLook w:val="01E0"/>
      </w:tblPr>
      <w:tblGrid>
        <w:gridCol w:w="5101"/>
        <w:gridCol w:w="4027"/>
      </w:tblGrid>
      <w:tr w:rsidR="001C6DE7" w:rsidRPr="00EF5A40" w:rsidTr="005D6D84">
        <w:tc>
          <w:tcPr>
            <w:tcW w:w="5273" w:type="dxa"/>
          </w:tcPr>
          <w:p w:rsidR="001C6DE7" w:rsidRPr="00EF5A40" w:rsidRDefault="001C6DE7" w:rsidP="005D6D84">
            <w:pPr>
              <w:widowControl w:val="0"/>
              <w:jc w:val="both"/>
              <w:rPr>
                <w:b/>
                <w:i/>
                <w:szCs w:val="26"/>
                <w:lang w:val="nl-NL"/>
              </w:rPr>
            </w:pPr>
            <w:r w:rsidRPr="00EF5A40">
              <w:rPr>
                <w:b/>
                <w:i/>
                <w:lang w:val="nl-NL"/>
              </w:rPr>
              <w:t>Nơi nhận:</w:t>
            </w:r>
          </w:p>
        </w:tc>
        <w:tc>
          <w:tcPr>
            <w:tcW w:w="4138" w:type="dxa"/>
          </w:tcPr>
          <w:p w:rsidR="001C6DE7" w:rsidRPr="00EF5A40" w:rsidRDefault="001C6DE7" w:rsidP="005D6D84">
            <w:pPr>
              <w:widowControl w:val="0"/>
              <w:jc w:val="center"/>
              <w:rPr>
                <w:b/>
                <w:sz w:val="26"/>
                <w:szCs w:val="26"/>
                <w:lang w:val="nl-NL"/>
              </w:rPr>
            </w:pPr>
            <w:r w:rsidRPr="00EF5A40">
              <w:rPr>
                <w:b/>
                <w:sz w:val="26"/>
                <w:szCs w:val="26"/>
                <w:lang w:val="nl-NL"/>
              </w:rPr>
              <w:t>KT. BỘ TRƯỞNG</w:t>
            </w:r>
          </w:p>
        </w:tc>
      </w:tr>
      <w:tr w:rsidR="001C6DE7" w:rsidRPr="00EF5A40" w:rsidTr="005D6D84">
        <w:tc>
          <w:tcPr>
            <w:tcW w:w="5273" w:type="dxa"/>
            <w:vMerge w:val="restart"/>
          </w:tcPr>
          <w:p w:rsidR="001C6DE7" w:rsidRDefault="001C6DE7" w:rsidP="005D6D84">
            <w:pPr>
              <w:widowControl w:val="0"/>
              <w:jc w:val="both"/>
            </w:pPr>
            <w:r w:rsidRPr="008154FB">
              <w:rPr>
                <w:sz w:val="22"/>
                <w:szCs w:val="22"/>
              </w:rPr>
              <w:t xml:space="preserve">- </w:t>
            </w:r>
            <w:r w:rsidRPr="008154FB">
              <w:rPr>
                <w:sz w:val="22"/>
              </w:rPr>
              <w:t>Như trên</w:t>
            </w:r>
            <w:r w:rsidRPr="008154FB">
              <w:rPr>
                <w:sz w:val="22"/>
                <w:szCs w:val="22"/>
              </w:rPr>
              <w:t>;</w:t>
            </w:r>
          </w:p>
          <w:p w:rsidR="00B40E01" w:rsidRPr="00B40E01" w:rsidRDefault="00B40E01" w:rsidP="00B40E01">
            <w:pPr>
              <w:widowControl w:val="0"/>
              <w:ind w:right="-566"/>
              <w:rPr>
                <w:color w:val="000000"/>
                <w:lang w:val="nl-NL"/>
              </w:rPr>
            </w:pPr>
            <w:r>
              <w:rPr>
                <w:sz w:val="22"/>
                <w:szCs w:val="22"/>
              </w:rPr>
              <w:t xml:space="preserve">- </w:t>
            </w:r>
            <w:r>
              <w:rPr>
                <w:color w:val="000000"/>
                <w:sz w:val="22"/>
                <w:lang w:val="nl-NL"/>
              </w:rPr>
              <w:t>Bộ trưởng (để báo cáo);</w:t>
            </w:r>
          </w:p>
          <w:p w:rsidR="0082771D" w:rsidRDefault="0082771D" w:rsidP="005D6D84">
            <w:pPr>
              <w:widowControl w:val="0"/>
              <w:jc w:val="both"/>
            </w:pPr>
            <w:r>
              <w:rPr>
                <w:sz w:val="22"/>
                <w:szCs w:val="22"/>
              </w:rPr>
              <w:t>- VPCP;</w:t>
            </w:r>
          </w:p>
          <w:p w:rsidR="003B67B6" w:rsidRPr="008154FB" w:rsidRDefault="003B67B6" w:rsidP="005D6D84">
            <w:pPr>
              <w:widowControl w:val="0"/>
              <w:jc w:val="both"/>
              <w:rPr>
                <w:b/>
              </w:rPr>
            </w:pPr>
            <w:r>
              <w:rPr>
                <w:sz w:val="22"/>
                <w:szCs w:val="22"/>
              </w:rPr>
              <w:t>- TCHQ;</w:t>
            </w:r>
          </w:p>
          <w:p w:rsidR="001C6DE7" w:rsidRPr="008154FB" w:rsidRDefault="001C6DE7" w:rsidP="005D6D84">
            <w:pPr>
              <w:widowControl w:val="0"/>
              <w:jc w:val="both"/>
            </w:pPr>
            <w:r w:rsidRPr="008154FB">
              <w:rPr>
                <w:sz w:val="22"/>
                <w:szCs w:val="22"/>
              </w:rPr>
              <w:t xml:space="preserve">- </w:t>
            </w:r>
            <w:r w:rsidRPr="008154FB">
              <w:rPr>
                <w:sz w:val="22"/>
              </w:rPr>
              <w:t xml:space="preserve">Vụ </w:t>
            </w:r>
            <w:r w:rsidR="003B67B6">
              <w:rPr>
                <w:sz w:val="22"/>
              </w:rPr>
              <w:t>PC</w:t>
            </w:r>
            <w:r w:rsidRPr="008154FB">
              <w:rPr>
                <w:sz w:val="22"/>
              </w:rPr>
              <w:t>;</w:t>
            </w:r>
            <w:r w:rsidR="00E50172">
              <w:rPr>
                <w:sz w:val="22"/>
              </w:rPr>
              <w:t xml:space="preserve"> </w:t>
            </w:r>
          </w:p>
          <w:p w:rsidR="001C6DE7" w:rsidRPr="00EF5A40" w:rsidRDefault="001C6DE7" w:rsidP="009F0BE0">
            <w:pPr>
              <w:widowControl w:val="0"/>
              <w:jc w:val="both"/>
              <w:rPr>
                <w:i/>
                <w:lang w:val="nl-NL"/>
              </w:rPr>
            </w:pPr>
            <w:r w:rsidRPr="00EF5A40">
              <w:rPr>
                <w:sz w:val="22"/>
                <w:szCs w:val="22"/>
                <w:lang w:val="nl-NL"/>
              </w:rPr>
              <w:t>- Lưu: VT, CST (</w:t>
            </w:r>
            <w:r w:rsidR="009F0BE0">
              <w:rPr>
                <w:sz w:val="22"/>
                <w:szCs w:val="22"/>
                <w:lang w:val="nl-NL"/>
              </w:rPr>
              <w:t>XNK</w:t>
            </w:r>
            <w:r w:rsidRPr="00EF5A40">
              <w:rPr>
                <w:sz w:val="22"/>
                <w:szCs w:val="22"/>
                <w:lang w:val="nl-NL"/>
              </w:rPr>
              <w:t>).</w:t>
            </w:r>
          </w:p>
        </w:tc>
        <w:tc>
          <w:tcPr>
            <w:tcW w:w="4138" w:type="dxa"/>
          </w:tcPr>
          <w:p w:rsidR="001C6DE7" w:rsidRPr="00EF5A40" w:rsidRDefault="001C6DE7" w:rsidP="005D6D84">
            <w:pPr>
              <w:widowControl w:val="0"/>
              <w:jc w:val="center"/>
              <w:rPr>
                <w:b/>
                <w:sz w:val="26"/>
                <w:szCs w:val="26"/>
                <w:lang w:val="nl-NL"/>
              </w:rPr>
            </w:pPr>
            <w:r w:rsidRPr="00EF5A40">
              <w:rPr>
                <w:b/>
                <w:sz w:val="26"/>
                <w:szCs w:val="26"/>
                <w:lang w:val="nl-NL"/>
              </w:rPr>
              <w:t>THỨ TRƯỞNG</w:t>
            </w:r>
          </w:p>
        </w:tc>
      </w:tr>
      <w:tr w:rsidR="001C6DE7" w:rsidRPr="00EF5A40" w:rsidTr="005D6D84">
        <w:tc>
          <w:tcPr>
            <w:tcW w:w="5273" w:type="dxa"/>
            <w:vMerge/>
          </w:tcPr>
          <w:p w:rsidR="001C6DE7" w:rsidRPr="00EF5A40" w:rsidRDefault="001C6DE7" w:rsidP="005D6D84">
            <w:pPr>
              <w:widowControl w:val="0"/>
              <w:jc w:val="both"/>
              <w:rPr>
                <w:lang w:val="nl-NL"/>
              </w:rPr>
            </w:pPr>
          </w:p>
        </w:tc>
        <w:tc>
          <w:tcPr>
            <w:tcW w:w="4138" w:type="dxa"/>
          </w:tcPr>
          <w:p w:rsidR="001C6DE7" w:rsidRPr="00AA231F" w:rsidRDefault="001C6DE7" w:rsidP="005D6D84">
            <w:pPr>
              <w:widowControl w:val="0"/>
              <w:jc w:val="center"/>
              <w:rPr>
                <w:sz w:val="28"/>
                <w:szCs w:val="28"/>
                <w:lang w:val="nl-NL"/>
              </w:rPr>
            </w:pPr>
          </w:p>
          <w:p w:rsidR="001C6DE7" w:rsidRDefault="001C6DE7" w:rsidP="00CA6C1F">
            <w:pPr>
              <w:widowControl w:val="0"/>
              <w:rPr>
                <w:b/>
                <w:sz w:val="28"/>
                <w:szCs w:val="28"/>
                <w:lang w:val="nl-NL"/>
              </w:rPr>
            </w:pPr>
          </w:p>
          <w:p w:rsidR="00D410C2" w:rsidRDefault="00D410C2" w:rsidP="00CA6C1F">
            <w:pPr>
              <w:widowControl w:val="0"/>
              <w:rPr>
                <w:b/>
                <w:sz w:val="28"/>
                <w:szCs w:val="28"/>
                <w:lang w:val="nl-NL"/>
              </w:rPr>
            </w:pPr>
          </w:p>
          <w:p w:rsidR="00CA6C1F" w:rsidRDefault="00CA6C1F" w:rsidP="00CA6C1F">
            <w:pPr>
              <w:widowControl w:val="0"/>
              <w:rPr>
                <w:b/>
                <w:sz w:val="28"/>
                <w:szCs w:val="28"/>
                <w:lang w:val="nl-NL"/>
              </w:rPr>
            </w:pPr>
          </w:p>
          <w:p w:rsidR="005C2C02" w:rsidRPr="005C2C02" w:rsidRDefault="005C2C02" w:rsidP="005D6D84">
            <w:pPr>
              <w:widowControl w:val="0"/>
              <w:jc w:val="center"/>
              <w:rPr>
                <w:b/>
                <w:sz w:val="18"/>
                <w:szCs w:val="28"/>
                <w:lang w:val="nl-NL"/>
              </w:rPr>
            </w:pPr>
          </w:p>
          <w:p w:rsidR="001C6DE7" w:rsidRPr="00F55E2C" w:rsidRDefault="005A43B9" w:rsidP="005D6D84">
            <w:pPr>
              <w:widowControl w:val="0"/>
              <w:jc w:val="center"/>
              <w:rPr>
                <w:b/>
                <w:sz w:val="28"/>
                <w:szCs w:val="28"/>
                <w:lang w:val="nl-NL"/>
              </w:rPr>
            </w:pPr>
            <w:r>
              <w:rPr>
                <w:b/>
                <w:sz w:val="28"/>
                <w:szCs w:val="28"/>
                <w:lang w:val="nl-NL"/>
              </w:rPr>
              <w:t>Nguyễn Đức Chi</w:t>
            </w:r>
          </w:p>
        </w:tc>
      </w:tr>
    </w:tbl>
    <w:p w:rsidR="009A4594" w:rsidRDefault="009A4594" w:rsidP="00156514"/>
    <w:sectPr w:rsidR="009A4594" w:rsidSect="00CA6C1F">
      <w:headerReference w:type="default" r:id="rId10"/>
      <w:footerReference w:type="even" r:id="rId11"/>
      <w:pgSz w:w="11907" w:h="16840" w:code="9"/>
      <w:pgMar w:top="1134" w:right="1134" w:bottom="1134" w:left="1701" w:header="431" w:footer="43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0C2" w:rsidRDefault="00D410C2" w:rsidP="00617A52">
      <w:r>
        <w:separator/>
      </w:r>
    </w:p>
  </w:endnote>
  <w:endnote w:type="continuationSeparator" w:id="0">
    <w:p w:rsidR="00D410C2" w:rsidRDefault="00D410C2" w:rsidP="00617A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C2" w:rsidRDefault="0047496D" w:rsidP="005D6D84">
    <w:pPr>
      <w:pStyle w:val="Footer"/>
      <w:framePr w:wrap="around" w:vAnchor="text" w:hAnchor="margin" w:xAlign="right" w:y="1"/>
      <w:rPr>
        <w:rStyle w:val="PageNumber"/>
      </w:rPr>
    </w:pPr>
    <w:r>
      <w:rPr>
        <w:rStyle w:val="PageNumber"/>
      </w:rPr>
      <w:fldChar w:fldCharType="begin"/>
    </w:r>
    <w:r w:rsidR="00D410C2">
      <w:rPr>
        <w:rStyle w:val="PageNumber"/>
      </w:rPr>
      <w:instrText xml:space="preserve">PAGE  </w:instrText>
    </w:r>
    <w:r>
      <w:rPr>
        <w:rStyle w:val="PageNumber"/>
      </w:rPr>
      <w:fldChar w:fldCharType="end"/>
    </w:r>
  </w:p>
  <w:p w:rsidR="00D410C2" w:rsidRDefault="00D410C2" w:rsidP="005D6D8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0C2" w:rsidRDefault="00D410C2" w:rsidP="00617A52">
      <w:r>
        <w:separator/>
      </w:r>
    </w:p>
  </w:footnote>
  <w:footnote w:type="continuationSeparator" w:id="0">
    <w:p w:rsidR="00D410C2" w:rsidRDefault="00D410C2" w:rsidP="00617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C2" w:rsidRDefault="0047496D" w:rsidP="005D6D84">
    <w:pPr>
      <w:pStyle w:val="Header"/>
      <w:jc w:val="center"/>
    </w:pPr>
    <w:fldSimple w:instr=" PAGE   \* MERGEFORMAT ">
      <w:r w:rsidR="009342A2">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C6DE7"/>
    <w:rsid w:val="00027987"/>
    <w:rsid w:val="0004671C"/>
    <w:rsid w:val="00050EA2"/>
    <w:rsid w:val="000B5DF6"/>
    <w:rsid w:val="00156514"/>
    <w:rsid w:val="0017644F"/>
    <w:rsid w:val="001C5DF7"/>
    <w:rsid w:val="001C6DE7"/>
    <w:rsid w:val="001C6E81"/>
    <w:rsid w:val="001C77FA"/>
    <w:rsid w:val="001D4A01"/>
    <w:rsid w:val="001F4AA6"/>
    <w:rsid w:val="00260CF4"/>
    <w:rsid w:val="002A4142"/>
    <w:rsid w:val="00307F6A"/>
    <w:rsid w:val="00340910"/>
    <w:rsid w:val="00386825"/>
    <w:rsid w:val="003B67B6"/>
    <w:rsid w:val="003B6AA4"/>
    <w:rsid w:val="003E0263"/>
    <w:rsid w:val="00422FFA"/>
    <w:rsid w:val="004308EF"/>
    <w:rsid w:val="0043613C"/>
    <w:rsid w:val="0047399D"/>
    <w:rsid w:val="0047496D"/>
    <w:rsid w:val="004828F2"/>
    <w:rsid w:val="004D42F5"/>
    <w:rsid w:val="005341B3"/>
    <w:rsid w:val="005A43B9"/>
    <w:rsid w:val="005A4717"/>
    <w:rsid w:val="005C2C02"/>
    <w:rsid w:val="005D6D84"/>
    <w:rsid w:val="00606148"/>
    <w:rsid w:val="00617A52"/>
    <w:rsid w:val="006A560E"/>
    <w:rsid w:val="00735B3A"/>
    <w:rsid w:val="0074072B"/>
    <w:rsid w:val="007B0D70"/>
    <w:rsid w:val="0082771D"/>
    <w:rsid w:val="00846051"/>
    <w:rsid w:val="00865B5D"/>
    <w:rsid w:val="008F0682"/>
    <w:rsid w:val="009342A2"/>
    <w:rsid w:val="00960855"/>
    <w:rsid w:val="009A4594"/>
    <w:rsid w:val="009C1F05"/>
    <w:rsid w:val="009C76D2"/>
    <w:rsid w:val="009E5026"/>
    <w:rsid w:val="009F0BE0"/>
    <w:rsid w:val="00AA42A3"/>
    <w:rsid w:val="00AC1AEA"/>
    <w:rsid w:val="00B137DC"/>
    <w:rsid w:val="00B27BE8"/>
    <w:rsid w:val="00B40E01"/>
    <w:rsid w:val="00B47E0D"/>
    <w:rsid w:val="00B53FC3"/>
    <w:rsid w:val="00BA4C96"/>
    <w:rsid w:val="00C56580"/>
    <w:rsid w:val="00C84446"/>
    <w:rsid w:val="00CA6C1F"/>
    <w:rsid w:val="00CC0F21"/>
    <w:rsid w:val="00CC7E8D"/>
    <w:rsid w:val="00CE46E0"/>
    <w:rsid w:val="00D410C2"/>
    <w:rsid w:val="00D70302"/>
    <w:rsid w:val="00DA6274"/>
    <w:rsid w:val="00DB7700"/>
    <w:rsid w:val="00DB7DA7"/>
    <w:rsid w:val="00E170E3"/>
    <w:rsid w:val="00E50172"/>
    <w:rsid w:val="00E93CAC"/>
    <w:rsid w:val="00E96A9D"/>
    <w:rsid w:val="00EC7ED9"/>
    <w:rsid w:val="00EF0365"/>
    <w:rsid w:val="00EF03A8"/>
    <w:rsid w:val="00EF2206"/>
    <w:rsid w:val="00F23D0C"/>
    <w:rsid w:val="00F55E2C"/>
    <w:rsid w:val="00F711E9"/>
    <w:rsid w:val="00FE2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DE7"/>
    <w:pPr>
      <w:spacing w:after="0" w:line="240" w:lineRule="auto"/>
    </w:pPr>
    <w:rPr>
      <w:rFonts w:ascii="Times New Roman" w:eastAsia="Times New Roman" w:hAnsi="Times New Roman" w:cs="Times New Roman"/>
      <w:sz w:val="24"/>
      <w:szCs w:val="24"/>
      <w:lang w:val="en-US"/>
    </w:rPr>
  </w:style>
  <w:style w:type="paragraph" w:styleId="Heading7">
    <w:name w:val="heading 7"/>
    <w:basedOn w:val="Normal"/>
    <w:next w:val="Normal"/>
    <w:link w:val="Heading7Char"/>
    <w:qFormat/>
    <w:rsid w:val="001C6DE7"/>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C6DE7"/>
    <w:rPr>
      <w:rFonts w:ascii=".VnTime" w:eastAsia="Times New Roman" w:hAnsi=".VnTime" w:cs="Times New Roman"/>
      <w:i/>
      <w:iCs/>
      <w:sz w:val="28"/>
      <w:szCs w:val="28"/>
      <w:lang w:val="en-US"/>
    </w:rPr>
  </w:style>
  <w:style w:type="paragraph" w:styleId="Footer">
    <w:name w:val="footer"/>
    <w:basedOn w:val="Normal"/>
    <w:link w:val="FooterChar"/>
    <w:rsid w:val="001C6DE7"/>
    <w:pPr>
      <w:tabs>
        <w:tab w:val="center" w:pos="4320"/>
        <w:tab w:val="right" w:pos="8640"/>
      </w:tabs>
    </w:pPr>
  </w:style>
  <w:style w:type="character" w:customStyle="1" w:styleId="FooterChar">
    <w:name w:val="Footer Char"/>
    <w:basedOn w:val="DefaultParagraphFont"/>
    <w:link w:val="Footer"/>
    <w:rsid w:val="001C6DE7"/>
    <w:rPr>
      <w:rFonts w:ascii="Times New Roman" w:eastAsia="Times New Roman" w:hAnsi="Times New Roman" w:cs="Times New Roman"/>
      <w:sz w:val="24"/>
      <w:szCs w:val="24"/>
      <w:lang w:val="en-US"/>
    </w:rPr>
  </w:style>
  <w:style w:type="character" w:styleId="PageNumber">
    <w:name w:val="page number"/>
    <w:basedOn w:val="DefaultParagraphFont"/>
    <w:rsid w:val="001C6DE7"/>
  </w:style>
  <w:style w:type="paragraph" w:styleId="Header">
    <w:name w:val="header"/>
    <w:basedOn w:val="Normal"/>
    <w:link w:val="HeaderChar"/>
    <w:rsid w:val="001C6DE7"/>
    <w:pPr>
      <w:tabs>
        <w:tab w:val="center" w:pos="4680"/>
        <w:tab w:val="right" w:pos="9360"/>
      </w:tabs>
    </w:pPr>
  </w:style>
  <w:style w:type="character" w:customStyle="1" w:styleId="HeaderChar">
    <w:name w:val="Header Char"/>
    <w:basedOn w:val="DefaultParagraphFont"/>
    <w:link w:val="Header"/>
    <w:rsid w:val="001C6DE7"/>
    <w:rPr>
      <w:rFonts w:ascii="Times New Roman" w:eastAsia="Times New Roman" w:hAnsi="Times New Roman" w:cs="Times New Roman"/>
      <w:sz w:val="24"/>
      <w:szCs w:val="24"/>
      <w:lang w:val="en-US"/>
    </w:rPr>
  </w:style>
  <w:style w:type="paragraph" w:styleId="NormalWeb">
    <w:name w:val="Normal (Web)"/>
    <w:basedOn w:val="Normal"/>
    <w:link w:val="NormalWebChar"/>
    <w:uiPriority w:val="99"/>
    <w:rsid w:val="001C6DE7"/>
    <w:pPr>
      <w:spacing w:before="100" w:beforeAutospacing="1" w:after="100" w:afterAutospacing="1"/>
    </w:pPr>
  </w:style>
  <w:style w:type="character" w:customStyle="1" w:styleId="NormalWebChar">
    <w:name w:val="Normal (Web) Char"/>
    <w:link w:val="NormalWeb"/>
    <w:uiPriority w:val="99"/>
    <w:locked/>
    <w:rsid w:val="001C6DE7"/>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unhideWhenUsed/>
    <w:qFormat/>
    <w:rsid w:val="000B5DF6"/>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uiPriority w:val="99"/>
    <w:qFormat/>
    <w:rsid w:val="000B5DF6"/>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43126B422AB97941ACD86D2D696A8A1D" ma:contentTypeVersion="0" ma:contentTypeDescription="Tạo tài liệu mới." ma:contentTypeScope="" ma:versionID="beef71576db03e0df833733aa628f1ce">
  <xsd:schema xmlns:xsd="http://www.w3.org/2001/XMLSchema" xmlns:xs="http://www.w3.org/2001/XMLSchema" xmlns:p="http://schemas.microsoft.com/office/2006/metadata/properties" targetNamespace="http://schemas.microsoft.com/office/2006/metadata/properties" ma:root="true" ma:fieldsID="c48a08cb5c79b764e14bb9ade34210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B2550-642B-4634-9CEF-CC6168596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2A0988-E1D6-402B-87D7-7CC1E6CDA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A8738D-3D8A-4CFB-8DFD-69C8459C0416}">
  <ds:schemaRefs>
    <ds:schemaRef ds:uri="http://schemas.microsoft.com/sharepoint/v3/contenttype/forms"/>
  </ds:schemaRefs>
</ds:datastoreItem>
</file>

<file path=customXml/itemProps4.xml><?xml version="1.0" encoding="utf-8"?>
<ds:datastoreItem xmlns:ds="http://schemas.openxmlformats.org/officeDocument/2006/customXml" ds:itemID="{8845BDA0-96AE-4A09-9AC7-608AC2CF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7434</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tranthihuonganh</cp:lastModifiedBy>
  <cp:revision>34</cp:revision>
  <cp:lastPrinted>2022-07-08T07:03:00Z</cp:lastPrinted>
  <dcterms:created xsi:type="dcterms:W3CDTF">2022-07-04T07:37:00Z</dcterms:created>
  <dcterms:modified xsi:type="dcterms:W3CDTF">2022-07-08T08:58:00Z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0x01010043126B422AB97941ACD86D2D696A8A1D</vt:lpwstr>
  </property>
</Properties>
</file>